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1306" w14:textId="77777777" w:rsidR="006C23B9" w:rsidRDefault="00000000">
      <w:pPr>
        <w:rPr>
          <w:rFonts w:ascii="Gill Sans" w:eastAsia="Gill Sans" w:hAnsi="Gill Sans" w:cs="Gill Sans"/>
          <w:sz w:val="28"/>
          <w:szCs w:val="28"/>
        </w:rPr>
      </w:pPr>
      <w:r>
        <w:rPr>
          <w:noProof/>
        </w:rPr>
        <mc:AlternateContent>
          <mc:Choice Requires="wpg">
            <w:drawing>
              <wp:anchor distT="0" distB="0" distL="114300" distR="114300" simplePos="0" relativeHeight="251658240" behindDoc="0" locked="0" layoutInCell="1" hidden="0" allowOverlap="1" wp14:anchorId="344870ED" wp14:editId="5A210984">
                <wp:simplePos x="0" y="0"/>
                <wp:positionH relativeFrom="column">
                  <wp:posOffset>-1549399</wp:posOffset>
                </wp:positionH>
                <wp:positionV relativeFrom="paragraph">
                  <wp:posOffset>-1130299</wp:posOffset>
                </wp:positionV>
                <wp:extent cx="9154287" cy="2331635"/>
                <wp:effectExtent l="0" t="0" r="0" b="0"/>
                <wp:wrapNone/>
                <wp:docPr id="48" name="Rectangle 48"/>
                <wp:cNvGraphicFramePr/>
                <a:graphic xmlns:a="http://schemas.openxmlformats.org/drawingml/2006/main">
                  <a:graphicData uri="http://schemas.microsoft.com/office/word/2010/wordprocessingShape">
                    <wps:wsp>
                      <wps:cNvSpPr/>
                      <wps:spPr>
                        <a:xfrm>
                          <a:off x="783144" y="2628470"/>
                          <a:ext cx="9125712" cy="2303060"/>
                        </a:xfrm>
                        <a:prstGeom prst="rect">
                          <a:avLst/>
                        </a:prstGeom>
                        <a:solidFill>
                          <a:srgbClr val="1A365A"/>
                        </a:solidFill>
                        <a:ln>
                          <a:noFill/>
                        </a:ln>
                      </wps:spPr>
                      <wps:txbx>
                        <w:txbxContent>
                          <w:p w14:paraId="1F70176C" w14:textId="77777777" w:rsidR="006C23B9" w:rsidRDefault="006C23B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-1549399</wp:posOffset>
                </wp:positionH>
                <wp:positionV relativeFrom="paragraph">
                  <wp:posOffset>-1130299</wp:posOffset>
                </wp:positionV>
                <wp:extent cx="9154287" cy="2331635"/>
                <wp:effectExtent b="0" l="0" r="0" t="0"/>
                <wp:wrapNone/>
                <wp:docPr id="4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9154287" cy="233163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076E97D" wp14:editId="2CE846C4">
                <wp:simplePos x="0" y="0"/>
                <wp:positionH relativeFrom="column">
                  <wp:posOffset>2298700</wp:posOffset>
                </wp:positionH>
                <wp:positionV relativeFrom="paragraph">
                  <wp:posOffset>1168400</wp:posOffset>
                </wp:positionV>
                <wp:extent cx="3795395" cy="335915"/>
                <wp:effectExtent l="0" t="0" r="0" b="0"/>
                <wp:wrapNone/>
                <wp:docPr id="47" name="Rectangle 47"/>
                <wp:cNvGraphicFramePr/>
                <a:graphic xmlns:a="http://schemas.openxmlformats.org/drawingml/2006/main">
                  <a:graphicData uri="http://schemas.microsoft.com/office/word/2010/wordprocessingShape">
                    <wps:wsp>
                      <wps:cNvSpPr/>
                      <wps:spPr>
                        <a:xfrm>
                          <a:off x="3462590" y="3626330"/>
                          <a:ext cx="3766820" cy="307340"/>
                        </a:xfrm>
                        <a:prstGeom prst="rect">
                          <a:avLst/>
                        </a:prstGeom>
                        <a:noFill/>
                        <a:ln>
                          <a:noFill/>
                        </a:ln>
                      </wps:spPr>
                      <wps:txbx>
                        <w:txbxContent>
                          <w:p w14:paraId="57CD652D" w14:textId="77777777" w:rsidR="006C23B9" w:rsidRDefault="00000000">
                            <w:pPr>
                              <w:jc w:val="right"/>
                              <w:textDirection w:val="btLr"/>
                            </w:pPr>
                            <w:r>
                              <w:rPr>
                                <w:rFonts w:ascii="Avenir" w:eastAsia="Avenir" w:hAnsi="Avenir" w:cs="Avenir"/>
                                <w:i/>
                                <w:color w:val="FFFFFF"/>
                                <w:sz w:val="28"/>
                              </w:rPr>
                              <w:t>March 2019</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2298700</wp:posOffset>
                </wp:positionH>
                <wp:positionV relativeFrom="paragraph">
                  <wp:posOffset>1168400</wp:posOffset>
                </wp:positionV>
                <wp:extent cx="3795395" cy="335915"/>
                <wp:effectExtent b="0" l="0" r="0" t="0"/>
                <wp:wrapNone/>
                <wp:docPr id="4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795395" cy="33591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5EF8553" wp14:editId="30DA9CDE">
                <wp:simplePos x="0" y="0"/>
                <wp:positionH relativeFrom="column">
                  <wp:posOffset>-1549399</wp:posOffset>
                </wp:positionH>
                <wp:positionV relativeFrom="paragraph">
                  <wp:posOffset>1143000</wp:posOffset>
                </wp:positionV>
                <wp:extent cx="9172575" cy="347345"/>
                <wp:effectExtent l="0" t="0" r="0" b="0"/>
                <wp:wrapNone/>
                <wp:docPr id="46" name="Rectangle 46"/>
                <wp:cNvGraphicFramePr/>
                <a:graphic xmlns:a="http://schemas.openxmlformats.org/drawingml/2006/main">
                  <a:graphicData uri="http://schemas.microsoft.com/office/word/2010/wordprocessingShape">
                    <wps:wsp>
                      <wps:cNvSpPr/>
                      <wps:spPr>
                        <a:xfrm>
                          <a:off x="774000" y="3620615"/>
                          <a:ext cx="9144000" cy="318770"/>
                        </a:xfrm>
                        <a:prstGeom prst="rect">
                          <a:avLst/>
                        </a:prstGeom>
                        <a:solidFill>
                          <a:srgbClr val="0C8AA9"/>
                        </a:solidFill>
                        <a:ln>
                          <a:noFill/>
                        </a:ln>
                      </wps:spPr>
                      <wps:txbx>
                        <w:txbxContent>
                          <w:p w14:paraId="4B3F5990" w14:textId="77777777" w:rsidR="006C23B9" w:rsidRDefault="006C23B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-1549399</wp:posOffset>
                </wp:positionH>
                <wp:positionV relativeFrom="paragraph">
                  <wp:posOffset>1143000</wp:posOffset>
                </wp:positionV>
                <wp:extent cx="9172575" cy="347345"/>
                <wp:effectExtent b="0" l="0" r="0" t="0"/>
                <wp:wrapNone/>
                <wp:docPr id="4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172575" cy="347345"/>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4DC0B0B6" wp14:editId="74481B91">
                <wp:simplePos x="0" y="0"/>
                <wp:positionH relativeFrom="column">
                  <wp:posOffset>1092200</wp:posOffset>
                </wp:positionH>
                <wp:positionV relativeFrom="paragraph">
                  <wp:posOffset>1130300</wp:posOffset>
                </wp:positionV>
                <wp:extent cx="3795395" cy="380514"/>
                <wp:effectExtent l="0" t="0" r="0" b="0"/>
                <wp:wrapNone/>
                <wp:docPr id="45" name="Rectangle 45"/>
                <wp:cNvGraphicFramePr/>
                <a:graphic xmlns:a="http://schemas.openxmlformats.org/drawingml/2006/main">
                  <a:graphicData uri="http://schemas.microsoft.com/office/word/2010/wordprocessingShape">
                    <wps:wsp>
                      <wps:cNvSpPr/>
                      <wps:spPr>
                        <a:xfrm>
                          <a:off x="3462590" y="3610773"/>
                          <a:ext cx="3766820" cy="338455"/>
                        </a:xfrm>
                        <a:prstGeom prst="rect">
                          <a:avLst/>
                        </a:prstGeom>
                        <a:noFill/>
                        <a:ln>
                          <a:noFill/>
                        </a:ln>
                      </wps:spPr>
                      <wps:txbx>
                        <w:txbxContent>
                          <w:p w14:paraId="517D564F" w14:textId="2A3D9407" w:rsidR="006C23B9" w:rsidRDefault="00FF015E">
                            <w:pPr>
                              <w:jc w:val="center"/>
                              <w:textDirection w:val="btLr"/>
                            </w:pPr>
                            <w:r>
                              <w:rPr>
                                <w:rFonts w:ascii="Avenir" w:eastAsia="Avenir" w:hAnsi="Avenir" w:cs="Avenir"/>
                                <w:color w:val="FFFFFF"/>
                                <w:sz w:val="32"/>
                              </w:rPr>
                              <w:t>June</w:t>
                            </w:r>
                            <w:r w:rsidR="00000000">
                              <w:rPr>
                                <w:rFonts w:ascii="Avenir" w:eastAsia="Avenir" w:hAnsi="Avenir" w:cs="Avenir"/>
                                <w:color w:val="FFFFFF"/>
                                <w:sz w:val="32"/>
                              </w:rPr>
                              <w:t xml:space="preserve"> 2025</w:t>
                            </w:r>
                          </w:p>
                        </w:txbxContent>
                      </wps:txbx>
                      <wps:bodyPr spcFirstLastPara="1" wrap="square" lIns="91425" tIns="45700" rIns="91425" bIns="45700" anchor="t" anchorCtr="0">
                        <a:noAutofit/>
                      </wps:bodyPr>
                    </wps:wsp>
                  </a:graphicData>
                </a:graphic>
              </wp:anchor>
            </w:drawing>
          </mc:Choice>
          <mc:Fallback>
            <w:pict>
              <v:rect w14:anchorId="4DC0B0B6" id="Rectangle 45" o:spid="_x0000_s1029" style="position:absolute;margin-left:86pt;margin-top:89pt;width:298.85pt;height:2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" filled="f" stroked="f">
                <v:textbox inset="2.53958mm,1.2694mm,2.53958mm,1.2694mm">
                  <w:txbxContent>
                    <w:p w14:paraId="517D564F" w14:textId="2A3D9407" w:rsidR="006C23B9" w:rsidRDefault="00FF015E">
                      <w:pPr>
                        <w:jc w:val="center"/>
                        <w:textDirection w:val="btLr"/>
                      </w:pPr>
                      <w:r>
                        <w:rPr>
                          <w:rFonts w:ascii="Avenir" w:eastAsia="Avenir" w:hAnsi="Avenir" w:cs="Avenir"/>
                          <w:color w:val="FFFFFF"/>
                          <w:sz w:val="32"/>
                        </w:rPr>
                        <w:t>June</w:t>
                      </w:r>
                      <w:r w:rsidR="00000000">
                        <w:rPr>
                          <w:rFonts w:ascii="Avenir" w:eastAsia="Avenir" w:hAnsi="Avenir" w:cs="Avenir"/>
                          <w:color w:val="FFFFFF"/>
                          <w:sz w:val="32"/>
                        </w:rPr>
                        <w:t xml:space="preserve"> 2025</w:t>
                      </w:r>
                    </w:p>
                  </w:txbxContent>
                </v:textbox>
              </v:rect>
            </w:pict>
          </mc:Fallback>
        </mc:AlternateContent>
      </w:r>
      <w:r>
        <w:rPr>
          <w:noProof/>
        </w:rPr>
        <w:drawing>
          <wp:anchor distT="0" distB="0" distL="114300" distR="114300" simplePos="0" relativeHeight="251662336" behindDoc="0" locked="0" layoutInCell="1" hidden="0" allowOverlap="1" wp14:anchorId="0D5687A2" wp14:editId="4B9E125D">
            <wp:simplePos x="0" y="0"/>
            <wp:positionH relativeFrom="column">
              <wp:posOffset>642620</wp:posOffset>
            </wp:positionH>
            <wp:positionV relativeFrom="paragraph">
              <wp:posOffset>-321942</wp:posOffset>
            </wp:positionV>
            <wp:extent cx="4746625" cy="130619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46625" cy="1306195"/>
                    </a:xfrm>
                    <a:prstGeom prst="rect">
                      <a:avLst/>
                    </a:prstGeom>
                    <a:ln/>
                  </pic:spPr>
                </pic:pic>
              </a:graphicData>
            </a:graphic>
          </wp:anchor>
        </w:drawing>
      </w:r>
    </w:p>
    <w:p w14:paraId="48C0AAB1" w14:textId="77777777" w:rsidR="006C23B9" w:rsidRDefault="006C23B9">
      <w:pPr>
        <w:rPr>
          <w:rFonts w:ascii="Gill Sans" w:eastAsia="Gill Sans" w:hAnsi="Gill Sans" w:cs="Gill Sans"/>
          <w:sz w:val="28"/>
          <w:szCs w:val="28"/>
        </w:rPr>
      </w:pPr>
    </w:p>
    <w:p w14:paraId="226121A8" w14:textId="77777777" w:rsidR="006C23B9" w:rsidRDefault="00000000">
      <w:pPr>
        <w:rPr>
          <w:rFonts w:ascii="Gill Sans" w:eastAsia="Gill Sans" w:hAnsi="Gill Sans" w:cs="Gill Sans"/>
          <w:sz w:val="28"/>
          <w:szCs w:val="28"/>
        </w:rPr>
      </w:pPr>
      <w:r>
        <w:rPr>
          <w:rFonts w:ascii="Gill Sans" w:eastAsia="Gill Sans" w:hAnsi="Gill Sans" w:cs="Gill Sans"/>
          <w:sz w:val="28"/>
          <w:szCs w:val="28"/>
        </w:rPr>
        <w:t>...From The Executive Director</w:t>
      </w:r>
    </w:p>
    <w:p w14:paraId="0354E1A2" w14:textId="77777777" w:rsidR="006C23B9" w:rsidRDefault="006C23B9">
      <w:pPr>
        <w:rPr>
          <w:rFonts w:ascii="Gill Sans" w:eastAsia="Gill Sans" w:hAnsi="Gill Sans" w:cs="Gill Sans"/>
          <w:sz w:val="24"/>
          <w:szCs w:val="24"/>
        </w:rPr>
      </w:pPr>
    </w:p>
    <w:p w14:paraId="6A60AEC9" w14:textId="77777777" w:rsidR="006C23B9" w:rsidRDefault="00000000">
      <w:pPr>
        <w:rPr>
          <w:rFonts w:ascii="Gill Sans" w:eastAsia="Gill Sans" w:hAnsi="Gill Sans" w:cs="Gill Sans"/>
          <w:sz w:val="24"/>
          <w:szCs w:val="24"/>
        </w:rPr>
      </w:pPr>
      <w:r>
        <w:rPr>
          <w:rFonts w:ascii="Gill Sans" w:eastAsia="Gill Sans" w:hAnsi="Gill Sans" w:cs="Gill Sans"/>
          <w:sz w:val="24"/>
          <w:szCs w:val="24"/>
        </w:rPr>
        <w:t xml:space="preserve">Welcome to the March 2019 edition of </w:t>
      </w:r>
      <w:r>
        <w:rPr>
          <w:rFonts w:ascii="Gill Sans" w:eastAsia="Gill Sans" w:hAnsi="Gill Sans" w:cs="Gill Sans"/>
          <w:i/>
          <w:sz w:val="24"/>
          <w:szCs w:val="24"/>
        </w:rPr>
        <w:t>The ISAAC Communicator</w:t>
      </w:r>
      <w:r>
        <w:rPr>
          <w:rFonts w:ascii="Gill Sans" w:eastAsia="Gill Sans" w:hAnsi="Gill Sans" w:cs="Gill Sans"/>
          <w:sz w:val="24"/>
          <w:szCs w:val="24"/>
        </w:rPr>
        <w:t xml:space="preserve"> (formerly </w:t>
      </w:r>
      <w:r>
        <w:rPr>
          <w:rFonts w:ascii="Gill Sans" w:eastAsia="Gill Sans" w:hAnsi="Gill Sans" w:cs="Gill Sans"/>
          <w:i/>
          <w:sz w:val="24"/>
          <w:szCs w:val="24"/>
        </w:rPr>
        <w:t>ISAAC E-News</w:t>
      </w:r>
      <w:r>
        <w:rPr>
          <w:rFonts w:ascii="Gill Sans" w:eastAsia="Gill Sans" w:hAnsi="Gill Sans" w:cs="Gill Sans"/>
          <w:sz w:val="24"/>
          <w:szCs w:val="24"/>
        </w:rPr>
        <w:t xml:space="preserve">). The ISAAC International office continues its work on behalf of the membership around the </w:t>
      </w:r>
    </w:p>
    <w:p w14:paraId="1A1E31F0" w14:textId="77777777" w:rsidR="006C23B9" w:rsidRDefault="006C23B9">
      <w:pPr>
        <w:rPr>
          <w:rFonts w:ascii="Gill Sans" w:eastAsia="Gill Sans" w:hAnsi="Gill Sans" w:cs="Gill Sans"/>
          <w:sz w:val="28"/>
          <w:szCs w:val="28"/>
        </w:rPr>
      </w:pPr>
    </w:p>
    <w:p w14:paraId="136E714C" w14:textId="77777777" w:rsidR="006C23B9" w:rsidRDefault="006C23B9">
      <w:pPr>
        <w:rPr>
          <w:rFonts w:ascii="Gill Sans" w:eastAsia="Gill Sans" w:hAnsi="Gill Sans" w:cs="Gill Sans"/>
          <w:sz w:val="28"/>
          <w:szCs w:val="28"/>
        </w:rPr>
      </w:pPr>
    </w:p>
    <w:p w14:paraId="0EFD316D" w14:textId="77777777" w:rsidR="006C23B9" w:rsidRDefault="006C23B9">
      <w:pPr>
        <w:rPr>
          <w:rFonts w:ascii="Gill Sans" w:eastAsia="Gill Sans" w:hAnsi="Gill Sans" w:cs="Gill Sans"/>
          <w:sz w:val="28"/>
          <w:szCs w:val="28"/>
        </w:rPr>
      </w:pPr>
    </w:p>
    <w:p w14:paraId="225DDAA5" w14:textId="77777777" w:rsidR="006C23B9" w:rsidRDefault="006C23B9">
      <w:pPr>
        <w:rPr>
          <w:rFonts w:ascii="Gill Sans" w:eastAsia="Gill Sans" w:hAnsi="Gill Sans" w:cs="Gill Sans"/>
          <w:sz w:val="28"/>
          <w:szCs w:val="28"/>
        </w:rPr>
      </w:pPr>
    </w:p>
    <w:p w14:paraId="0599C0B0"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 Do Diretor Executivo</w:t>
      </w:r>
    </w:p>
    <w:p w14:paraId="7681E41F" w14:textId="77777777" w:rsidR="006C23B9" w:rsidRDefault="006C23B9">
      <w:pPr>
        <w:spacing w:line="276" w:lineRule="auto"/>
        <w:rPr>
          <w:rFonts w:ascii="Gill Sans" w:eastAsia="Gill Sans" w:hAnsi="Gill Sans" w:cs="Gill Sans"/>
          <w:sz w:val="32"/>
          <w:szCs w:val="32"/>
        </w:rPr>
      </w:pPr>
    </w:p>
    <w:p w14:paraId="70195E56"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Bem-vindos à edição de junho de 2025 do The ISAAC Communicator.</w:t>
      </w:r>
    </w:p>
    <w:p w14:paraId="18450ACC" w14:textId="77777777" w:rsidR="006C23B9" w:rsidRDefault="006C23B9">
      <w:pPr>
        <w:spacing w:line="276" w:lineRule="auto"/>
        <w:rPr>
          <w:rFonts w:ascii="Gill Sans" w:eastAsia="Gill Sans" w:hAnsi="Gill Sans" w:cs="Gill Sans"/>
          <w:sz w:val="32"/>
          <w:szCs w:val="32"/>
        </w:rPr>
      </w:pPr>
    </w:p>
    <w:p w14:paraId="2BBBE9D6" w14:textId="77777777" w:rsidR="006C23B9" w:rsidRPr="00FF015E" w:rsidRDefault="00000000">
      <w:pPr>
        <w:spacing w:line="276" w:lineRule="auto"/>
        <w:rPr>
          <w:rFonts w:ascii="Gill Sans" w:eastAsia="Gill Sans" w:hAnsi="Gill Sans" w:cs="Gill Sans"/>
          <w:b/>
          <w:bCs/>
          <w:sz w:val="32"/>
          <w:szCs w:val="32"/>
          <w:u w:val="single"/>
        </w:rPr>
      </w:pPr>
      <w:r w:rsidRPr="00FF015E">
        <w:rPr>
          <w:rFonts w:ascii="Gill Sans" w:eastAsia="Gill Sans" w:hAnsi="Gill Sans" w:cs="Gill Sans"/>
          <w:b/>
          <w:bCs/>
          <w:sz w:val="32"/>
          <w:szCs w:val="32"/>
          <w:u w:val="single"/>
        </w:rPr>
        <w:t>Associação ISAAC 2025</w:t>
      </w:r>
    </w:p>
    <w:p w14:paraId="1D85AACC" w14:textId="77777777" w:rsidR="00FF015E" w:rsidRDefault="00FF015E">
      <w:pPr>
        <w:spacing w:line="276" w:lineRule="auto"/>
        <w:rPr>
          <w:rFonts w:ascii="Gill Sans" w:eastAsia="Gill Sans" w:hAnsi="Gill Sans" w:cs="Gill Sans"/>
          <w:sz w:val="32"/>
          <w:szCs w:val="32"/>
        </w:rPr>
      </w:pPr>
    </w:p>
    <w:p w14:paraId="63067348"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Tenho a honra de anunciar mais um ano de associação muito positivo para toda a ISAAC Internacional. Com mais de 1.800 membros em todo o mundo até o momento em 2025, a associação ISAAC este ano está superando os anos anteriores!</w:t>
      </w:r>
    </w:p>
    <w:p w14:paraId="33F1A7A6" w14:textId="77777777" w:rsidR="00FF015E" w:rsidRDefault="00FF015E">
      <w:pPr>
        <w:spacing w:line="276" w:lineRule="auto"/>
        <w:rPr>
          <w:rFonts w:ascii="Gill Sans" w:eastAsia="Gill Sans" w:hAnsi="Gill Sans" w:cs="Gill Sans"/>
          <w:sz w:val="32"/>
          <w:szCs w:val="32"/>
        </w:rPr>
      </w:pPr>
    </w:p>
    <w:p w14:paraId="0981885F"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Agradecemos a todos os membros que renovaram sua associação para 2025. Se você ainda não renovou, faça-o, pois os membros da ISAAC têm direito a descontos significativos em assinaturas da nossa revista AAC, bem como em publicações de capítulos associados.</w:t>
      </w:r>
    </w:p>
    <w:p w14:paraId="581A1443" w14:textId="77777777" w:rsidR="00FF015E" w:rsidRDefault="00FF015E">
      <w:pPr>
        <w:spacing w:line="276" w:lineRule="auto"/>
        <w:rPr>
          <w:rFonts w:ascii="Gill Sans" w:eastAsia="Gill Sans" w:hAnsi="Gill Sans" w:cs="Gill Sans"/>
          <w:sz w:val="32"/>
          <w:szCs w:val="32"/>
        </w:rPr>
      </w:pPr>
    </w:p>
    <w:p w14:paraId="4959579D"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Além disso, os membros da ISAAC podem acessar descontos significativos em nosso evento virtual de 2025, que será realizado em outubro, intitulado Inovação, Inclusão e Advocacy na AAC. Este será um evento imperdível (veja os detalhes abaixo).</w:t>
      </w:r>
    </w:p>
    <w:p w14:paraId="355FB182" w14:textId="77777777" w:rsidR="00FF015E" w:rsidRDefault="00FF015E">
      <w:pPr>
        <w:spacing w:line="276" w:lineRule="auto"/>
        <w:rPr>
          <w:rFonts w:ascii="Gill Sans" w:eastAsia="Gill Sans" w:hAnsi="Gill Sans" w:cs="Gill Sans"/>
          <w:sz w:val="32"/>
          <w:szCs w:val="32"/>
        </w:rPr>
      </w:pPr>
    </w:p>
    <w:p w14:paraId="0382F73C"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 xml:space="preserve">Por fim, nós, do escritório internacional do ISAAC, estamos trabalhando arduamente na edição de 2025 do Diretório de Membros </w:t>
      </w:r>
      <w:r>
        <w:rPr>
          <w:rFonts w:ascii="Gill Sans" w:eastAsia="Gill Sans" w:hAnsi="Gill Sans" w:cs="Gill Sans"/>
          <w:sz w:val="32"/>
          <w:szCs w:val="32"/>
        </w:rPr>
        <w:lastRenderedPageBreak/>
        <w:t>do ISAAC. Prevemos o lançamento da edição deste ano do Diretório em julho de 2025.</w:t>
      </w:r>
    </w:p>
    <w:p w14:paraId="08FDE4E7" w14:textId="77777777" w:rsidR="00FF015E" w:rsidRDefault="00FF015E">
      <w:pPr>
        <w:spacing w:line="276" w:lineRule="auto"/>
        <w:rPr>
          <w:rFonts w:ascii="Gill Sans" w:eastAsia="Gill Sans" w:hAnsi="Gill Sans" w:cs="Gill Sans"/>
          <w:sz w:val="32"/>
          <w:szCs w:val="32"/>
        </w:rPr>
      </w:pPr>
    </w:p>
    <w:p w14:paraId="52535A10" w14:textId="77777777" w:rsidR="006C23B9" w:rsidRDefault="00000000">
      <w:pPr>
        <w:spacing w:line="276" w:lineRule="auto"/>
        <w:rPr>
          <w:rFonts w:ascii="Gill Sans" w:eastAsia="Gill Sans" w:hAnsi="Gill Sans" w:cs="Gill Sans"/>
          <w:b/>
          <w:bCs/>
          <w:sz w:val="32"/>
          <w:szCs w:val="32"/>
          <w:u w:val="single"/>
        </w:rPr>
      </w:pPr>
      <w:r w:rsidRPr="00FF015E">
        <w:rPr>
          <w:rFonts w:ascii="Gill Sans" w:eastAsia="Gill Sans" w:hAnsi="Gill Sans" w:cs="Gill Sans"/>
          <w:b/>
          <w:bCs/>
          <w:sz w:val="32"/>
          <w:szCs w:val="32"/>
          <w:u w:val="single"/>
        </w:rPr>
        <w:t>Mês de Conscientização sobre CAA 2025</w:t>
      </w:r>
    </w:p>
    <w:p w14:paraId="5D978ABA" w14:textId="77777777" w:rsidR="00FF015E" w:rsidRPr="00FF015E" w:rsidRDefault="00FF015E">
      <w:pPr>
        <w:spacing w:line="276" w:lineRule="auto"/>
        <w:rPr>
          <w:rFonts w:ascii="Gill Sans" w:eastAsia="Gill Sans" w:hAnsi="Gill Sans" w:cs="Gill Sans"/>
          <w:b/>
          <w:bCs/>
          <w:sz w:val="32"/>
          <w:szCs w:val="32"/>
          <w:u w:val="single"/>
        </w:rPr>
      </w:pPr>
    </w:p>
    <w:p w14:paraId="62B30A87"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O Mês de Conscientização sobre CAA ocorre em outubro de cada ano.</w:t>
      </w:r>
    </w:p>
    <w:p w14:paraId="5B17F054" w14:textId="77777777" w:rsidR="00FF015E" w:rsidRDefault="00FF015E">
      <w:pPr>
        <w:spacing w:line="276" w:lineRule="auto"/>
        <w:rPr>
          <w:rFonts w:ascii="Gill Sans" w:eastAsia="Gill Sans" w:hAnsi="Gill Sans" w:cs="Gill Sans"/>
          <w:sz w:val="32"/>
          <w:szCs w:val="32"/>
        </w:rPr>
      </w:pPr>
    </w:p>
    <w:p w14:paraId="09A7BA68"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O ISAAC teve o prazer de sediar, em 2024, nosso primeiro evento totalmente virtual, “Vibes of AAC”, que consiste em uma série de mais de 50 apresentações de alguns dos maiores nomes da área de CAA!</w:t>
      </w:r>
    </w:p>
    <w:p w14:paraId="7C275266" w14:textId="77777777" w:rsidR="00FF015E" w:rsidRDefault="00FF015E">
      <w:pPr>
        <w:spacing w:line="276" w:lineRule="auto"/>
        <w:rPr>
          <w:rFonts w:ascii="Gill Sans" w:eastAsia="Gill Sans" w:hAnsi="Gill Sans" w:cs="Gill Sans"/>
          <w:sz w:val="32"/>
          <w:szCs w:val="32"/>
        </w:rPr>
      </w:pPr>
    </w:p>
    <w:p w14:paraId="02A6E7B3"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Para outubro de 2025, o ISAAC tem o prazer de apresentar sua conferência virtual subsequente, “Inovação, Inclusão e Advocacy em CAA”.</w:t>
      </w:r>
    </w:p>
    <w:p w14:paraId="57ED191A" w14:textId="77777777" w:rsidR="00FF015E" w:rsidRDefault="00FF015E">
      <w:pPr>
        <w:spacing w:line="276" w:lineRule="auto"/>
        <w:rPr>
          <w:rFonts w:ascii="Gill Sans" w:eastAsia="Gill Sans" w:hAnsi="Gill Sans" w:cs="Gill Sans"/>
          <w:sz w:val="32"/>
          <w:szCs w:val="32"/>
        </w:rPr>
      </w:pPr>
    </w:p>
    <w:p w14:paraId="58136F2E"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Acabamos de encerrar nossa Chamada para Artigos e temos o prazer de anunciar que teremos um total de 120 artigos submetidos! Esta é uma resposta extraordinária, e o ISAAC gostaria de agradecer a todos que dedicaram seu tempo para enviar suas propostas.</w:t>
      </w:r>
    </w:p>
    <w:p w14:paraId="29135B76" w14:textId="77777777" w:rsidR="00FF015E" w:rsidRDefault="00FF015E">
      <w:pPr>
        <w:spacing w:line="276" w:lineRule="auto"/>
        <w:rPr>
          <w:rFonts w:ascii="Gill Sans" w:eastAsia="Gill Sans" w:hAnsi="Gill Sans" w:cs="Gill Sans"/>
          <w:sz w:val="32"/>
          <w:szCs w:val="32"/>
        </w:rPr>
      </w:pPr>
    </w:p>
    <w:p w14:paraId="7C9D178B"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Com a assistência do Comitê de Pesquisa do ISAAC, estamos iniciando o trabalho de revisão desses artigos, após o qual poderemos divulgar e anunciar um programa científico preliminar para o evento deste ano. FIQUEM LIGADOS!</w:t>
      </w:r>
    </w:p>
    <w:p w14:paraId="677B69DA" w14:textId="77777777" w:rsidR="00FF015E" w:rsidRDefault="00FF015E">
      <w:pPr>
        <w:spacing w:line="276" w:lineRule="auto"/>
        <w:rPr>
          <w:rFonts w:ascii="Gill Sans" w:eastAsia="Gill Sans" w:hAnsi="Gill Sans" w:cs="Gill Sans"/>
          <w:sz w:val="32"/>
          <w:szCs w:val="32"/>
        </w:rPr>
      </w:pPr>
    </w:p>
    <w:p w14:paraId="319D2C8D"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Enquanto isso, nosso sistema de inscrição para o evento já está aberto e disponível para compra de ingressos. Acessem nossa plataforma de inscrição com antecedência para aproveitar nossos preços mais baixos durante o período de inscrição antecipada.</w:t>
      </w:r>
    </w:p>
    <w:p w14:paraId="7593C9D1" w14:textId="77777777" w:rsidR="00FF015E" w:rsidRDefault="00FF015E">
      <w:pPr>
        <w:spacing w:line="276" w:lineRule="auto"/>
        <w:rPr>
          <w:rFonts w:ascii="Gill Sans" w:eastAsia="Gill Sans" w:hAnsi="Gill Sans" w:cs="Gill Sans"/>
          <w:sz w:val="32"/>
          <w:szCs w:val="32"/>
        </w:rPr>
      </w:pPr>
    </w:p>
    <w:p w14:paraId="75C2FD34" w14:textId="77777777" w:rsidR="006C23B9" w:rsidRPr="00FF015E" w:rsidRDefault="00000000">
      <w:pPr>
        <w:spacing w:line="276" w:lineRule="auto"/>
        <w:rPr>
          <w:rFonts w:ascii="Gill Sans" w:eastAsia="Gill Sans" w:hAnsi="Gill Sans" w:cs="Gill Sans"/>
          <w:b/>
          <w:bCs/>
          <w:sz w:val="32"/>
          <w:szCs w:val="32"/>
          <w:u w:val="single"/>
        </w:rPr>
      </w:pPr>
      <w:r w:rsidRPr="00FF015E">
        <w:rPr>
          <w:rFonts w:ascii="Gill Sans" w:eastAsia="Gill Sans" w:hAnsi="Gill Sans" w:cs="Gill Sans"/>
          <w:b/>
          <w:bCs/>
          <w:sz w:val="32"/>
          <w:szCs w:val="32"/>
          <w:u w:val="single"/>
        </w:rPr>
        <w:lastRenderedPageBreak/>
        <w:t>Gestão Financeira e Operacional do ISAAC em andamento</w:t>
      </w:r>
    </w:p>
    <w:p w14:paraId="5478A7E1" w14:textId="77777777" w:rsidR="006C23B9" w:rsidRDefault="006C23B9">
      <w:pPr>
        <w:spacing w:line="276" w:lineRule="auto"/>
        <w:rPr>
          <w:rFonts w:ascii="Gill Sans" w:eastAsia="Gill Sans" w:hAnsi="Gill Sans" w:cs="Gill Sans"/>
          <w:sz w:val="32"/>
          <w:szCs w:val="32"/>
        </w:rPr>
      </w:pPr>
    </w:p>
    <w:p w14:paraId="33CD4379"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O escritório internacional do ISAAC esteve bastante movimentado durante o primeiro e o segundo trimestres de 2025.</w:t>
      </w:r>
    </w:p>
    <w:p w14:paraId="64A23F8A" w14:textId="77777777" w:rsidR="006C23B9" w:rsidRDefault="006C23B9">
      <w:pPr>
        <w:spacing w:line="276" w:lineRule="auto"/>
        <w:rPr>
          <w:rFonts w:ascii="Gill Sans" w:eastAsia="Gill Sans" w:hAnsi="Gill Sans" w:cs="Gill Sans"/>
          <w:sz w:val="32"/>
          <w:szCs w:val="32"/>
        </w:rPr>
      </w:pPr>
    </w:p>
    <w:p w14:paraId="3F6C6F05"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Continuamos trabalhando em estreita colaboração com o Conselho Executivo e o Comitê Financeiro para identificar novas oportunidades para o ISAAC promover a área da CAA e expandir nosso alcance em todo o mundo. Dessa forma, podemos continuar a alavancar nossos webinars e eventos online e, agora, começar a analisar com mais detalhes outros aspectos de nossas operações, como a associação e o periódico da CAA.</w:t>
      </w:r>
    </w:p>
    <w:p w14:paraId="3DEBDD25" w14:textId="77777777" w:rsidR="006C23B9" w:rsidRDefault="006C23B9">
      <w:pPr>
        <w:spacing w:line="276" w:lineRule="auto"/>
        <w:rPr>
          <w:rFonts w:ascii="Gill Sans" w:eastAsia="Gill Sans" w:hAnsi="Gill Sans" w:cs="Gill Sans"/>
          <w:sz w:val="32"/>
          <w:szCs w:val="32"/>
        </w:rPr>
      </w:pPr>
    </w:p>
    <w:p w14:paraId="1C8FB57A"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Estamos ansiosos para anunciar algumas dessas iniciativas nos próximos meses.</w:t>
      </w:r>
    </w:p>
    <w:p w14:paraId="5031C56A" w14:textId="77777777" w:rsidR="006C23B9" w:rsidRDefault="006C23B9">
      <w:pPr>
        <w:spacing w:line="276" w:lineRule="auto"/>
        <w:rPr>
          <w:rFonts w:ascii="Gill Sans" w:eastAsia="Gill Sans" w:hAnsi="Gill Sans" w:cs="Gill Sans"/>
          <w:sz w:val="32"/>
          <w:szCs w:val="32"/>
        </w:rPr>
      </w:pPr>
    </w:p>
    <w:p w14:paraId="206F40E9"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O ISAAC também concluiu sua auditoria de 2024, e o Comitê Financeiro e o Conselho Executivo estão atualmente analisando os resultados. Os membros do ISAAC ficarão satisfeitos em saber que o desempenho financeiro da organização em 2024 gerou receitas líquidas positivas, principalmente como resultado das medidas de corte de custos implementadas durante o ano, além do desempenho financeiro positivo do periódico, dos membros e do programa "Vibes of AAC".</w:t>
      </w:r>
    </w:p>
    <w:p w14:paraId="6719F678" w14:textId="77777777" w:rsidR="006C23B9" w:rsidRDefault="006C23B9">
      <w:pPr>
        <w:spacing w:line="276" w:lineRule="auto"/>
        <w:rPr>
          <w:rFonts w:ascii="Gill Sans" w:eastAsia="Gill Sans" w:hAnsi="Gill Sans" w:cs="Gill Sans"/>
          <w:sz w:val="32"/>
          <w:szCs w:val="32"/>
        </w:rPr>
      </w:pPr>
    </w:p>
    <w:p w14:paraId="6A1152E7" w14:textId="77777777" w:rsidR="006C23B9" w:rsidRPr="00FF015E" w:rsidRDefault="00000000">
      <w:pPr>
        <w:spacing w:line="276" w:lineRule="auto"/>
        <w:rPr>
          <w:rFonts w:ascii="Gill Sans" w:eastAsia="Gill Sans" w:hAnsi="Gill Sans" w:cs="Gill Sans"/>
          <w:b/>
          <w:bCs/>
          <w:sz w:val="32"/>
          <w:szCs w:val="32"/>
          <w:u w:val="single"/>
        </w:rPr>
      </w:pPr>
      <w:r w:rsidRPr="00FF015E">
        <w:rPr>
          <w:rFonts w:ascii="Gill Sans" w:eastAsia="Gill Sans" w:hAnsi="Gill Sans" w:cs="Gill Sans"/>
          <w:b/>
          <w:bCs/>
          <w:sz w:val="32"/>
          <w:szCs w:val="32"/>
          <w:u w:val="single"/>
        </w:rPr>
        <w:t>Plano Estratégico 2026-29</w:t>
      </w:r>
    </w:p>
    <w:p w14:paraId="35A644AE" w14:textId="77777777" w:rsidR="006C23B9" w:rsidRDefault="006C23B9">
      <w:pPr>
        <w:spacing w:line="276" w:lineRule="auto"/>
        <w:rPr>
          <w:rFonts w:ascii="Gill Sans" w:eastAsia="Gill Sans" w:hAnsi="Gill Sans" w:cs="Gill Sans"/>
          <w:sz w:val="32"/>
          <w:szCs w:val="32"/>
        </w:rPr>
      </w:pPr>
    </w:p>
    <w:p w14:paraId="46A59C1B"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 xml:space="preserve">O Conselho Executivo do ISAAC está envolvido no desenvolvimento da próxima versão do Plano Estratégico do ISAAC, que abrangerá o período de 2026 a 2029. Como Diretor Executivo, tenho o prazer de trabalhar com os membros do Conselho Executivo neste importante </w:t>
      </w:r>
      <w:r>
        <w:rPr>
          <w:rFonts w:ascii="Gill Sans" w:eastAsia="Gill Sans" w:hAnsi="Gill Sans" w:cs="Gill Sans"/>
          <w:sz w:val="32"/>
          <w:szCs w:val="32"/>
        </w:rPr>
        <w:lastRenderedPageBreak/>
        <w:t>aspecto de orientar os elementos estratégicos e operacionais da organização.</w:t>
      </w:r>
    </w:p>
    <w:p w14:paraId="5A6289EE" w14:textId="77777777" w:rsidR="006C23B9" w:rsidRDefault="006C23B9">
      <w:pPr>
        <w:spacing w:line="276" w:lineRule="auto"/>
        <w:rPr>
          <w:rFonts w:ascii="Gill Sans" w:eastAsia="Gill Sans" w:hAnsi="Gill Sans" w:cs="Gill Sans"/>
          <w:sz w:val="32"/>
          <w:szCs w:val="32"/>
        </w:rPr>
      </w:pPr>
    </w:p>
    <w:p w14:paraId="11524C4D"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O Conselho Executivo fornecerá ao Conselho do ISAAC uma versão preliminar do novo Plano Estratégico para suas contribuições e comentários, antes da Reunião Extraordinária do Conselho do ISAAC, convocada para outubro.</w:t>
      </w:r>
    </w:p>
    <w:p w14:paraId="1D45DB79" w14:textId="77777777" w:rsidR="006C23B9" w:rsidRDefault="006C23B9">
      <w:pPr>
        <w:spacing w:line="276" w:lineRule="auto"/>
        <w:rPr>
          <w:rFonts w:ascii="Gill Sans" w:eastAsia="Gill Sans" w:hAnsi="Gill Sans" w:cs="Gill Sans"/>
          <w:sz w:val="32"/>
          <w:szCs w:val="32"/>
        </w:rPr>
      </w:pPr>
    </w:p>
    <w:p w14:paraId="1C017EF6"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Como sempre, agradeço suas opiniões e comentários. Não hesite em entrar em contato comigo diretamente, pelo e-mail franklin@isaac-online.org, caso necessite de mais informações ou assistência.</w:t>
      </w:r>
    </w:p>
    <w:p w14:paraId="00705A38" w14:textId="77777777" w:rsidR="006C23B9" w:rsidRDefault="006C23B9">
      <w:pPr>
        <w:spacing w:line="276" w:lineRule="auto"/>
        <w:rPr>
          <w:rFonts w:ascii="Gill Sans" w:eastAsia="Gill Sans" w:hAnsi="Gill Sans" w:cs="Gill Sans"/>
          <w:sz w:val="32"/>
          <w:szCs w:val="32"/>
        </w:rPr>
      </w:pPr>
    </w:p>
    <w:p w14:paraId="7141C851" w14:textId="77777777" w:rsidR="006C23B9" w:rsidRDefault="00000000">
      <w:pPr>
        <w:spacing w:line="276" w:lineRule="auto"/>
        <w:rPr>
          <w:rFonts w:ascii="Gill Sans" w:eastAsia="Gill Sans" w:hAnsi="Gill Sans" w:cs="Gill Sans"/>
          <w:sz w:val="32"/>
          <w:szCs w:val="32"/>
        </w:rPr>
      </w:pPr>
      <w:r>
        <w:rPr>
          <w:rFonts w:ascii="Gill Sans" w:eastAsia="Gill Sans" w:hAnsi="Gill Sans" w:cs="Gill Sans"/>
          <w:sz w:val="32"/>
          <w:szCs w:val="32"/>
        </w:rPr>
        <w:t>Atenciosamente,</w:t>
      </w:r>
    </w:p>
    <w:p w14:paraId="03AED18D" w14:textId="77777777" w:rsidR="006C23B9" w:rsidRDefault="006C23B9">
      <w:pPr>
        <w:spacing w:line="276" w:lineRule="auto"/>
        <w:rPr>
          <w:rFonts w:ascii="Gill Sans" w:eastAsia="Gill Sans" w:hAnsi="Gill Sans" w:cs="Gill Sans"/>
          <w:sz w:val="32"/>
          <w:szCs w:val="32"/>
        </w:rPr>
      </w:pPr>
    </w:p>
    <w:p w14:paraId="64A9D27B" w14:textId="77777777" w:rsidR="006C23B9" w:rsidRPr="00FF015E" w:rsidRDefault="00000000">
      <w:pPr>
        <w:spacing w:line="276" w:lineRule="auto"/>
        <w:rPr>
          <w:rFonts w:ascii="Gill Sans" w:hAnsi="Gill Sans" w:cs="Gill Sans" w:hint="cs"/>
          <w:sz w:val="32"/>
          <w:szCs w:val="32"/>
          <w:u w:val="single"/>
        </w:rPr>
      </w:pPr>
      <w:r w:rsidRPr="00FF015E">
        <w:rPr>
          <w:rFonts w:ascii="Gill Sans" w:hAnsi="Gill Sans" w:cs="Gill Sans" w:hint="cs"/>
          <w:sz w:val="32"/>
          <w:szCs w:val="32"/>
        </w:rPr>
        <w:t>Franklin Smith</w:t>
      </w:r>
    </w:p>
    <w:p w14:paraId="61FCA4BA" w14:textId="77777777" w:rsidR="006C23B9" w:rsidRDefault="006C23B9">
      <w:pPr>
        <w:spacing w:line="276" w:lineRule="auto"/>
        <w:rPr>
          <w:sz w:val="28"/>
          <w:szCs w:val="28"/>
        </w:rPr>
      </w:pPr>
    </w:p>
    <w:sectPr w:rsidR="006C23B9">
      <w:headerReference w:type="default" r:id="rId9"/>
      <w:footerReference w:type="default" r:id="rId10"/>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9E7D1" w14:textId="77777777" w:rsidR="00554B5F" w:rsidRDefault="00554B5F">
      <w:r>
        <w:separator/>
      </w:r>
    </w:p>
  </w:endnote>
  <w:endnote w:type="continuationSeparator" w:id="0">
    <w:p w14:paraId="59A47872" w14:textId="77777777" w:rsidR="00554B5F" w:rsidRDefault="0055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E3EF0F1F-703F-0543-ADDB-6CDA86E13C35}"/>
    <w:embedBold r:id="rId2" w:fontKey="{1570A867-D557-EC40-B01E-C1C66CD15F11}"/>
  </w:font>
  <w:font w:name="Times New Roman">
    <w:panose1 w:val="02020603050405020304"/>
    <w:charset w:val="00"/>
    <w:family w:val="roman"/>
    <w:pitch w:val="variable"/>
    <w:sig w:usb0="E0002EFF" w:usb1="C000785B" w:usb2="00000009" w:usb3="00000000" w:csb0="000001FF" w:csb1="00000000"/>
    <w:embedRegular r:id="rId3" w:fontKey="{6CB63F9B-F160-7047-BCA1-8A6E55CF998F}"/>
    <w:embedBold r:id="rId4" w:fontKey="{F899D370-0B34-354F-BC62-66571A34AD02}"/>
    <w:embedItalic r:id="rId5" w:fontKey="{C0301303-B276-934E-8A25-9C06107A02D2}"/>
  </w:font>
  <w:font w:name="Tahoma">
    <w:panose1 w:val="020B0604030504040204"/>
    <w:charset w:val="00"/>
    <w:family w:val="swiss"/>
    <w:pitch w:val="variable"/>
    <w:sig w:usb0="E1002EFF" w:usb1="C000605B" w:usb2="00000029" w:usb3="00000000" w:csb0="000101FF" w:csb1="00000000"/>
    <w:embedRegular r:id="rId6" w:fontKey="{85B2F228-ED91-D347-A914-74EED986ED0C}"/>
  </w:font>
  <w:font w:name="Georgia">
    <w:panose1 w:val="02040502050405020303"/>
    <w:charset w:val="00"/>
    <w:family w:val="roman"/>
    <w:pitch w:val="variable"/>
    <w:sig w:usb0="00000287" w:usb1="00000000" w:usb2="00000000" w:usb3="00000000" w:csb0="0000009F" w:csb1="00000000"/>
    <w:embedRegular r:id="rId7" w:fontKey="{E63FF56D-9695-924A-BE43-FDBC54DBBA01}"/>
    <w:embedItalic r:id="rId8" w:fontKey="{FCBDEF7E-488F-4843-B1F0-B45546E3CC92}"/>
  </w:font>
  <w:font w:name="Gill Sans">
    <w:panose1 w:val="020B0502020104020203"/>
    <w:charset w:val="B1"/>
    <w:family w:val="swiss"/>
    <w:pitch w:val="variable"/>
    <w:sig w:usb0="80000A67" w:usb1="00000000" w:usb2="00000000" w:usb3="00000000" w:csb0="000001F7" w:csb1="00000000"/>
  </w:font>
  <w:font w:name="Avenir">
    <w:panose1 w:val="02000503020000020003"/>
    <w:charset w:val="00"/>
    <w:family w:val="auto"/>
    <w:pitch w:val="variable"/>
    <w:sig w:usb0="800000AF" w:usb1="5000204A" w:usb2="00000000" w:usb3="00000000" w:csb0="0000009B" w:csb1="00000000"/>
    <w:embedRegular r:id="rId12" w:fontKey="{113446B2-885B-1D41-A281-D48AD82F1D14}"/>
    <w:embedItalic r:id="rId13" w:fontKey="{7AA11359-C363-4D48-93BB-3F2BB2761A4D}"/>
  </w:font>
  <w:font w:name="Cambria">
    <w:panose1 w:val="02040503050406030204"/>
    <w:charset w:val="00"/>
    <w:family w:val="roman"/>
    <w:pitch w:val="variable"/>
    <w:sig w:usb0="E00006FF" w:usb1="420024FF" w:usb2="02000000" w:usb3="00000000" w:csb0="0000019F" w:csb1="00000000"/>
    <w:embedRegular r:id="rId14" w:fontKey="{98A87811-71ED-E74F-B334-7DC8EBCDA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3273" w14:textId="77777777" w:rsidR="006C23B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F015E">
      <w:rPr>
        <w:noProof/>
        <w:color w:val="000000"/>
      </w:rPr>
      <w:t>1</w:t>
    </w:r>
    <w:r>
      <w:rPr>
        <w:color w:val="000000"/>
      </w:rPr>
      <w:fldChar w:fldCharType="end"/>
    </w:r>
  </w:p>
  <w:p w14:paraId="4FF04144" w14:textId="77777777" w:rsidR="006C23B9" w:rsidRDefault="006C23B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37762" w14:textId="77777777" w:rsidR="00554B5F" w:rsidRDefault="00554B5F">
      <w:r>
        <w:separator/>
      </w:r>
    </w:p>
  </w:footnote>
  <w:footnote w:type="continuationSeparator" w:id="0">
    <w:p w14:paraId="6A97EA51" w14:textId="77777777" w:rsidR="00554B5F" w:rsidRDefault="00554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53B" w14:textId="77777777" w:rsidR="006C23B9" w:rsidRDefault="006C23B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3B9"/>
    <w:rsid w:val="00554B5F"/>
    <w:rsid w:val="006C23B9"/>
    <w:rsid w:val="008D6B2C"/>
    <w:rsid w:val="00FF01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2E1A5"/>
  <w15:docId w15:val="{C7AE4498-765A-ED4F-BCCD-DE12B219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17475"/>
    <w:rPr>
      <w:color w:val="0000FF"/>
      <w:u w:val="single"/>
    </w:rPr>
  </w:style>
  <w:style w:type="paragraph" w:styleId="ListParagraph">
    <w:name w:val="List Paragraph"/>
    <w:basedOn w:val="Normal"/>
    <w:uiPriority w:val="34"/>
    <w:qFormat/>
    <w:rsid w:val="00586BAA"/>
    <w:pPr>
      <w:ind w:left="720"/>
      <w:contextualSpacing/>
    </w:pPr>
  </w:style>
  <w:style w:type="character" w:styleId="FollowedHyperlink">
    <w:name w:val="FollowedHyperlink"/>
    <w:basedOn w:val="DefaultParagraphFont"/>
    <w:uiPriority w:val="99"/>
    <w:semiHidden/>
    <w:unhideWhenUsed/>
    <w:rsid w:val="0037271B"/>
    <w:rPr>
      <w:color w:val="800080" w:themeColor="followedHyperlink"/>
      <w:u w:val="single"/>
    </w:rPr>
  </w:style>
  <w:style w:type="paragraph" w:styleId="BalloonText">
    <w:name w:val="Balloon Text"/>
    <w:basedOn w:val="Normal"/>
    <w:link w:val="BalloonTextChar"/>
    <w:uiPriority w:val="99"/>
    <w:semiHidden/>
    <w:unhideWhenUsed/>
    <w:rsid w:val="00BC2453"/>
    <w:rPr>
      <w:rFonts w:ascii="Tahoma" w:hAnsi="Tahoma" w:cs="Tahoma"/>
      <w:sz w:val="16"/>
      <w:szCs w:val="16"/>
    </w:rPr>
  </w:style>
  <w:style w:type="character" w:customStyle="1" w:styleId="BalloonTextChar">
    <w:name w:val="Balloon Text Char"/>
    <w:basedOn w:val="DefaultParagraphFont"/>
    <w:link w:val="BalloonText"/>
    <w:uiPriority w:val="99"/>
    <w:semiHidden/>
    <w:rsid w:val="00BC2453"/>
    <w:rPr>
      <w:rFonts w:ascii="Tahoma" w:hAnsi="Tahoma" w:cs="Tahoma"/>
      <w:sz w:val="16"/>
      <w:szCs w:val="16"/>
      <w:lang w:eastAsia="en-US"/>
    </w:rPr>
  </w:style>
  <w:style w:type="paragraph" w:styleId="NormalWeb">
    <w:name w:val="Normal (Web)"/>
    <w:basedOn w:val="Normal"/>
    <w:uiPriority w:val="99"/>
    <w:semiHidden/>
    <w:unhideWhenUsed/>
    <w:rsid w:val="008E5828"/>
    <w:pPr>
      <w:spacing w:before="100" w:beforeAutospacing="1" w:after="100" w:afterAutospacing="1"/>
    </w:pPr>
    <w:rPr>
      <w:rFonts w:ascii="Times New Roman" w:eastAsia="Times New Roman" w:hAnsi="Times New Roman"/>
      <w:sz w:val="24"/>
      <w:szCs w:val="24"/>
      <w:lang w:eastAsia="en-CA"/>
    </w:rPr>
  </w:style>
  <w:style w:type="paragraph" w:styleId="Header">
    <w:name w:val="header"/>
    <w:basedOn w:val="Normal"/>
    <w:link w:val="HeaderChar"/>
    <w:uiPriority w:val="99"/>
    <w:unhideWhenUsed/>
    <w:rsid w:val="004B7464"/>
    <w:pPr>
      <w:tabs>
        <w:tab w:val="center" w:pos="4680"/>
        <w:tab w:val="right" w:pos="9360"/>
      </w:tabs>
    </w:pPr>
  </w:style>
  <w:style w:type="character" w:customStyle="1" w:styleId="HeaderChar">
    <w:name w:val="Header Char"/>
    <w:basedOn w:val="DefaultParagraphFont"/>
    <w:link w:val="Header"/>
    <w:uiPriority w:val="99"/>
    <w:rsid w:val="004B7464"/>
    <w:rPr>
      <w:sz w:val="22"/>
      <w:szCs w:val="22"/>
      <w:lang w:eastAsia="en-US"/>
    </w:rPr>
  </w:style>
  <w:style w:type="paragraph" w:styleId="Footer">
    <w:name w:val="footer"/>
    <w:basedOn w:val="Normal"/>
    <w:link w:val="FooterChar"/>
    <w:uiPriority w:val="99"/>
    <w:unhideWhenUsed/>
    <w:rsid w:val="004B7464"/>
    <w:pPr>
      <w:tabs>
        <w:tab w:val="center" w:pos="4680"/>
        <w:tab w:val="right" w:pos="9360"/>
      </w:tabs>
    </w:pPr>
  </w:style>
  <w:style w:type="character" w:customStyle="1" w:styleId="FooterChar">
    <w:name w:val="Footer Char"/>
    <w:basedOn w:val="DefaultParagraphFont"/>
    <w:link w:val="Footer"/>
    <w:uiPriority w:val="99"/>
    <w:rsid w:val="004B7464"/>
    <w:rPr>
      <w:sz w:val="22"/>
      <w:szCs w:val="22"/>
      <w:lang w:eastAsia="en-US"/>
    </w:rPr>
  </w:style>
  <w:style w:type="character" w:styleId="UnresolvedMention">
    <w:name w:val="Unresolved Mention"/>
    <w:basedOn w:val="DefaultParagraphFont"/>
    <w:uiPriority w:val="99"/>
    <w:semiHidden/>
    <w:unhideWhenUsed/>
    <w:rsid w:val="0081012E"/>
    <w:rPr>
      <w:color w:val="605E5C"/>
      <w:shd w:val="clear" w:color="auto" w:fill="E1DFDD"/>
    </w:rPr>
  </w:style>
  <w:style w:type="character" w:styleId="Emphasis">
    <w:name w:val="Emphasis"/>
    <w:basedOn w:val="DefaultParagraphFont"/>
    <w:uiPriority w:val="20"/>
    <w:qFormat/>
    <w:rsid w:val="00081A9D"/>
    <w:rPr>
      <w:i/>
      <w:iCs/>
    </w:rPr>
  </w:style>
  <w:style w:type="character" w:styleId="Strong">
    <w:name w:val="Strong"/>
    <w:basedOn w:val="DefaultParagraphFont"/>
    <w:uiPriority w:val="22"/>
    <w:qFormat/>
    <w:rsid w:val="00B3373B"/>
    <w:rPr>
      <w:b/>
      <w:bCs/>
    </w:rPr>
  </w:style>
  <w:style w:type="paragraph" w:customStyle="1" w:styleId="pw-post-body-paragraph">
    <w:name w:val="pw-post-body-paragraph"/>
    <w:basedOn w:val="Normal"/>
    <w:rsid w:val="00B3373B"/>
    <w:pPr>
      <w:spacing w:before="100" w:beforeAutospacing="1" w:after="100" w:afterAutospacing="1"/>
    </w:pPr>
    <w:rPr>
      <w:rFonts w:ascii="Times New Roman" w:eastAsia="Times New Roman" w:hAnsi="Times New Roman" w:cs="Times New Roman"/>
      <w:sz w:val="24"/>
      <w:szCs w:val="24"/>
      <w:lang w:val="en-ZA" w:eastAsia="en-GB"/>
    </w:rPr>
  </w:style>
  <w:style w:type="paragraph" w:customStyle="1" w:styleId="m-2627673310350847792msolistparagraph">
    <w:name w:val="m_-2627673310350847792msolistparagraph"/>
    <w:basedOn w:val="Normal"/>
    <w:rsid w:val="00B569E2"/>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73658"/>
    <w:rPr>
      <w:sz w:val="16"/>
      <w:szCs w:val="16"/>
    </w:rPr>
  </w:style>
  <w:style w:type="paragraph" w:styleId="CommentText">
    <w:name w:val="annotation text"/>
    <w:basedOn w:val="Normal"/>
    <w:link w:val="CommentTextChar"/>
    <w:uiPriority w:val="99"/>
    <w:semiHidden/>
    <w:unhideWhenUsed/>
    <w:rsid w:val="00373658"/>
    <w:rPr>
      <w:sz w:val="20"/>
      <w:szCs w:val="20"/>
    </w:rPr>
  </w:style>
  <w:style w:type="character" w:customStyle="1" w:styleId="CommentTextChar">
    <w:name w:val="Comment Text Char"/>
    <w:basedOn w:val="DefaultParagraphFont"/>
    <w:link w:val="CommentText"/>
    <w:uiPriority w:val="99"/>
    <w:semiHidden/>
    <w:rsid w:val="00373658"/>
    <w:rPr>
      <w:sz w:val="20"/>
      <w:szCs w:val="20"/>
    </w:rPr>
  </w:style>
  <w:style w:type="paragraph" w:styleId="CommentSubject">
    <w:name w:val="annotation subject"/>
    <w:basedOn w:val="CommentText"/>
    <w:next w:val="CommentText"/>
    <w:link w:val="CommentSubjectChar"/>
    <w:uiPriority w:val="99"/>
    <w:semiHidden/>
    <w:unhideWhenUsed/>
    <w:rsid w:val="00373658"/>
    <w:rPr>
      <w:b/>
      <w:bCs/>
    </w:rPr>
  </w:style>
  <w:style w:type="character" w:customStyle="1" w:styleId="CommentSubjectChar">
    <w:name w:val="Comment Subject Char"/>
    <w:basedOn w:val="CommentTextChar"/>
    <w:link w:val="CommentSubject"/>
    <w:uiPriority w:val="99"/>
    <w:semiHidden/>
    <w:rsid w:val="00373658"/>
    <w:rPr>
      <w:b/>
      <w:bCs/>
      <w:sz w:val="20"/>
      <w:szCs w:val="20"/>
    </w:rPr>
  </w:style>
  <w:style w:type="paragraph" w:styleId="Revision">
    <w:name w:val="Revision"/>
    <w:hidden/>
    <w:uiPriority w:val="99"/>
    <w:semiHidden/>
    <w:rsid w:val="00AB104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eeNGJTrmeRKZpNVRJrJwdnujQ==">CgMxLjA4AHIhMUdUQjkyVTdqbnJhRFpvX3ZhdXRMN0pQT194Q3lKUzBl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651</Words>
  <Characters>3712</Characters>
  <Application>Microsoft Office Word</Application>
  <DocSecurity>0</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Smith</dc:creator>
  <cp:lastModifiedBy>Chloe Leon</cp:lastModifiedBy>
  <cp:revision>2</cp:revision>
  <dcterms:created xsi:type="dcterms:W3CDTF">2023-09-12T20:03:00Z</dcterms:created>
  <dcterms:modified xsi:type="dcterms:W3CDTF">2025-08-15T17:36:00Z</dcterms:modified>
</cp:coreProperties>
</file>